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1F2E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198B0F4">
      <w:pPr>
        <w:rPr>
          <w:rFonts w:hint="eastAsia"/>
          <w:lang w:val="en-US" w:eastAsia="zh-CN"/>
        </w:rPr>
      </w:pPr>
    </w:p>
    <w:p w14:paraId="7FFEFC8F"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2024年昌平区优秀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服务机构评选方案</w:t>
      </w:r>
    </w:p>
    <w:p w14:paraId="22934BF7"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 w14:paraId="067899E4">
      <w:pPr>
        <w:spacing w:line="560" w:lineRule="exact"/>
        <w:ind w:firstLine="64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</w:rPr>
        <w:t>一、活动背景</w:t>
      </w:r>
    </w:p>
    <w:p w14:paraId="4778A74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党中央、国务院关于深化北京市新一轮服务业扩大开放综合试点的决策部署，进一步促进昌平区服务业高质量发展，根据《昌平区加快高新技术企业培育发展支持办法》（昌政办发〔2024〕5号），支持优秀机构为高新技术企业提供专业化、高水平服务，开展服务机构评选工作，对服务成效突出的机构给予</w:t>
      </w:r>
      <w:r>
        <w:rPr>
          <w:rFonts w:hint="eastAsia" w:ascii="仿宋_GB2312" w:eastAsia="仿宋_GB2312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</w:rPr>
        <w:t>支持。</w:t>
      </w:r>
    </w:p>
    <w:p w14:paraId="07698DA1">
      <w:pPr>
        <w:pStyle w:val="2"/>
        <w:rPr>
          <w:rFonts w:hint="eastAsia"/>
        </w:rPr>
      </w:pPr>
    </w:p>
    <w:p w14:paraId="303A6FD2">
      <w:pPr>
        <w:spacing w:line="560" w:lineRule="exact"/>
        <w:ind w:firstLine="640" w:firstLineChars="200"/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二、活动目的</w:t>
      </w:r>
    </w:p>
    <w:p w14:paraId="05A67B18">
      <w:pPr>
        <w:spacing w:line="56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（一）促进科技服务机构健康发展，进一步提高科技服务机构的工作热情，提升科技服务机构在昌平的服务水平和质量。</w:t>
      </w:r>
    </w:p>
    <w:p w14:paraId="2D4A4E3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（二）激发科技服务业发展活力，通过评选机制吸引优秀科技服务机构为昌平服务，提升昌平区科技创新成果转移转化效率。</w:t>
      </w:r>
    </w:p>
    <w:p w14:paraId="25BE2404">
      <w:pPr>
        <w:spacing w:line="560" w:lineRule="exact"/>
        <w:ind w:firstLine="616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（三）对科技服务机构建设和工作成效进行评价，根据评选结果对优秀科技服务机构给予奖励并多渠道进行宣传推介。</w:t>
      </w:r>
    </w:p>
    <w:p w14:paraId="43004DF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（四）探索有效促进科技服务机构健康发展的服务模式，进一步营造有利于昌平科技服务行业发展的良好氛围。</w:t>
      </w:r>
    </w:p>
    <w:p w14:paraId="630D59AC">
      <w:pPr>
        <w:pStyle w:val="2"/>
        <w:rPr>
          <w:rFonts w:hint="eastAsia"/>
        </w:rPr>
      </w:pPr>
    </w:p>
    <w:p w14:paraId="0D1C98D0">
      <w:pPr>
        <w:spacing w:line="560" w:lineRule="exact"/>
        <w:ind w:firstLine="64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</w:rPr>
        <w:t>、评选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流程</w:t>
      </w:r>
    </w:p>
    <w:p w14:paraId="3009507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（一）昌平区高新技术企业协会负责对参评机构提交的申报材料进行初审。 </w:t>
      </w:r>
    </w:p>
    <w:p w14:paraId="5CDE578C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昌平区高新技术企业协会组织相关专家</w:t>
      </w:r>
      <w:r>
        <w:rPr>
          <w:rFonts w:hint="eastAsia" w:ascii="仿宋_GB2312" w:eastAsia="仿宋_GB2312"/>
          <w:sz w:val="32"/>
          <w:szCs w:val="32"/>
        </w:rPr>
        <w:t>对参评机构提交的申报材料进行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复</w:t>
      </w:r>
      <w:r>
        <w:rPr>
          <w:rFonts w:hint="eastAsia" w:ascii="仿宋_GB2312" w:eastAsia="仿宋_GB2312"/>
          <w:sz w:val="32"/>
          <w:szCs w:val="32"/>
        </w:rPr>
        <w:t>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就服务情况进行评分形成专家意见。</w:t>
      </w:r>
    </w:p>
    <w:p w14:paraId="793232D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）昌平区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高新技术企业协会</w:t>
      </w:r>
      <w:r>
        <w:rPr>
          <w:rFonts w:hint="eastAsia" w:ascii="仿宋_GB2312" w:eastAsia="仿宋_GB2312"/>
          <w:sz w:val="32"/>
          <w:szCs w:val="32"/>
        </w:rPr>
        <w:t>组织相关专家对通过初评的服务机构进行集中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路演及评分。</w:t>
      </w:r>
    </w:p>
    <w:p w14:paraId="5639E4DF">
      <w:pPr>
        <w:spacing w:line="560" w:lineRule="exact"/>
        <w:ind w:firstLine="616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（四）汇总申报材料复审专家评分和路演评分，</w:t>
      </w:r>
      <w:r>
        <w:rPr>
          <w:rFonts w:hint="eastAsia" w:ascii="仿宋_GB2312" w:eastAsia="仿宋_GB2312"/>
          <w:spacing w:val="-6"/>
          <w:sz w:val="32"/>
          <w:szCs w:val="32"/>
        </w:rPr>
        <w:t>形成专家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评选最终</w:t>
      </w:r>
      <w:r>
        <w:rPr>
          <w:rFonts w:hint="eastAsia" w:ascii="仿宋_GB2312" w:eastAsia="仿宋_GB2312"/>
          <w:spacing w:val="-6"/>
          <w:sz w:val="32"/>
          <w:szCs w:val="32"/>
        </w:rPr>
        <w:t>意见。昌平区科委根据评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选</w:t>
      </w:r>
      <w:r>
        <w:rPr>
          <w:rFonts w:hint="eastAsia" w:ascii="仿宋_GB2312" w:eastAsia="仿宋_GB2312"/>
          <w:spacing w:val="-6"/>
          <w:sz w:val="32"/>
          <w:szCs w:val="32"/>
        </w:rPr>
        <w:t>结果确定支持名单并发布。</w:t>
      </w:r>
    </w:p>
    <w:p w14:paraId="34F8DEA8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CN"/>
        </w:rPr>
        <w:t>）评选结果公示期为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5个工作日。</w:t>
      </w:r>
    </w:p>
    <w:p w14:paraId="1266C75E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）评选工作每年开展一次。</w:t>
      </w:r>
    </w:p>
    <w:p w14:paraId="7CD6EEF0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lang w:eastAsia="zh-CN"/>
        </w:rPr>
        <w:t>）依据《昌平区加快高新技术企业培育发展支持办法》第十六条，给予资金支持。</w:t>
      </w:r>
    </w:p>
    <w:p w14:paraId="4EE105B1">
      <w:pPr>
        <w:pStyle w:val="2"/>
        <w:rPr>
          <w:rFonts w:hint="eastAsia"/>
          <w:lang w:eastAsia="zh-CN"/>
        </w:rPr>
      </w:pPr>
    </w:p>
    <w:p w14:paraId="3015CA9D">
      <w:pPr>
        <w:spacing w:line="560" w:lineRule="exact"/>
        <w:ind w:firstLine="640" w:firstLineChars="200"/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四、评选周期</w:t>
      </w:r>
    </w:p>
    <w:tbl>
      <w:tblPr>
        <w:tblStyle w:val="9"/>
        <w:tblW w:w="0" w:type="auto"/>
        <w:tblInd w:w="8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5175"/>
      </w:tblGrid>
      <w:tr w14:paraId="6A82B529">
        <w:tc>
          <w:tcPr>
            <w:tcW w:w="1704" w:type="dxa"/>
          </w:tcPr>
          <w:p w14:paraId="2077070C"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5175" w:type="dxa"/>
          </w:tcPr>
          <w:p w14:paraId="1F1ED12F"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内 容</w:t>
            </w:r>
          </w:p>
        </w:tc>
      </w:tr>
      <w:tr w14:paraId="498BDBDD">
        <w:tc>
          <w:tcPr>
            <w:tcW w:w="1704" w:type="dxa"/>
          </w:tcPr>
          <w:p w14:paraId="415970CD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6月中旬</w:t>
            </w:r>
          </w:p>
        </w:tc>
        <w:tc>
          <w:tcPr>
            <w:tcW w:w="5175" w:type="dxa"/>
          </w:tcPr>
          <w:p w14:paraId="2240014E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发布评选通知</w:t>
            </w:r>
          </w:p>
        </w:tc>
      </w:tr>
      <w:tr w14:paraId="34DD8FA1">
        <w:tc>
          <w:tcPr>
            <w:tcW w:w="1704" w:type="dxa"/>
          </w:tcPr>
          <w:p w14:paraId="3E78343E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5175" w:type="dxa"/>
          </w:tcPr>
          <w:p w14:paraId="43B2FD1E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收集申报材料，完成材料初审</w:t>
            </w:r>
          </w:p>
        </w:tc>
      </w:tr>
      <w:tr w14:paraId="38071578">
        <w:tc>
          <w:tcPr>
            <w:tcW w:w="1704" w:type="dxa"/>
          </w:tcPr>
          <w:p w14:paraId="22F97079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5175" w:type="dxa"/>
          </w:tcPr>
          <w:p w14:paraId="24569400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组织专家进行申报材料复审</w:t>
            </w:r>
          </w:p>
        </w:tc>
      </w:tr>
      <w:tr w14:paraId="5FB37E7B">
        <w:tc>
          <w:tcPr>
            <w:tcW w:w="1704" w:type="dxa"/>
          </w:tcPr>
          <w:p w14:paraId="27E9B14D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5175" w:type="dxa"/>
          </w:tcPr>
          <w:p w14:paraId="69C96801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组织路演评选活动 </w:t>
            </w:r>
          </w:p>
        </w:tc>
      </w:tr>
      <w:tr w14:paraId="0399EF4D">
        <w:tc>
          <w:tcPr>
            <w:tcW w:w="1704" w:type="dxa"/>
          </w:tcPr>
          <w:p w14:paraId="37706CBA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5175" w:type="dxa"/>
          </w:tcPr>
          <w:p w14:paraId="05C5B5D3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公示评选结果</w:t>
            </w:r>
          </w:p>
        </w:tc>
      </w:tr>
    </w:tbl>
    <w:p w14:paraId="627EA638">
      <w:pPr>
        <w:spacing w:line="560" w:lineRule="exact"/>
        <w:ind w:firstLine="64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</w:pPr>
    </w:p>
    <w:p w14:paraId="71E23ED2">
      <w:pPr>
        <w:spacing w:line="560" w:lineRule="exact"/>
        <w:ind w:firstLine="64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五、评选机制</w:t>
      </w:r>
    </w:p>
    <w:p w14:paraId="3FF4183E">
      <w:pPr>
        <w:numPr>
          <w:ilvl w:val="0"/>
          <w:numId w:val="0"/>
        </w:numPr>
        <w:spacing w:line="560" w:lineRule="exact"/>
        <w:ind w:firstLine="642"/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  <w:t>昌平区优秀服务机构评选总分数由两部分组成：一是参评机构材料申报专家评分占总分80%；二是路演专家评分占总分20%。评选结果按照两部分得分相加总得分进行排名给予资金支持。</w:t>
      </w:r>
    </w:p>
    <w:p w14:paraId="73EAFA55">
      <w:pPr>
        <w:pStyle w:val="2"/>
        <w:ind w:firstLine="642"/>
        <w:rPr>
          <w:rFonts w:hint="default"/>
          <w:lang w:val="en-US" w:eastAsia="zh-CN"/>
        </w:rPr>
      </w:pPr>
    </w:p>
    <w:p w14:paraId="2F46783C">
      <w:pPr>
        <w:spacing w:line="560" w:lineRule="exact"/>
        <w:ind w:firstLine="64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</w:rPr>
        <w:t>、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注意事项</w:t>
      </w:r>
    </w:p>
    <w:p w14:paraId="1EF9C61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 参评机构需确保技术及数据的真实性，如有虚假将取消资格。  </w:t>
      </w:r>
    </w:p>
    <w:p w14:paraId="5F68A78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专家评审会为内部会议，评审前签订保密承诺书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7C1BF2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06DE02E4">
      <w:pPr>
        <w:keepNext w:val="0"/>
        <w:keepLines w:val="0"/>
        <w:pageBreakBefore w:val="0"/>
        <w:widowControl/>
        <w:tabs>
          <w:tab w:val="left" w:pos="210"/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年度昌平区</w:t>
      </w:r>
      <w:bookmarkStart w:id="0" w:name="OLE_LINK1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优秀科技服务机构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  <w:t>专家</w:t>
      </w:r>
    </w:p>
    <w:p w14:paraId="51BA1C10">
      <w:pPr>
        <w:keepNext w:val="0"/>
        <w:keepLines w:val="0"/>
        <w:pageBreakBefore w:val="0"/>
        <w:widowControl/>
        <w:tabs>
          <w:tab w:val="left" w:pos="210"/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  <w:t>评审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评分表</w:t>
      </w:r>
    </w:p>
    <w:p w14:paraId="54078559">
      <w:pPr>
        <w:widowControl/>
        <w:tabs>
          <w:tab w:val="left" w:pos="210"/>
          <w:tab w:val="left" w:pos="6663"/>
        </w:tabs>
        <w:spacing w:line="375" w:lineRule="atLeast"/>
        <w:jc w:val="left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参评单位：</w:t>
      </w:r>
      <w:bookmarkEnd w:id="0"/>
    </w:p>
    <w:tbl>
      <w:tblPr>
        <w:tblStyle w:val="8"/>
        <w:tblW w:w="87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6175"/>
        <w:gridCol w:w="1279"/>
      </w:tblGrid>
      <w:tr w14:paraId="4C7C970B">
        <w:trPr>
          <w:trHeight w:val="352" w:hRule="atLeast"/>
        </w:trPr>
        <w:tc>
          <w:tcPr>
            <w:tcW w:w="13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D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  标</w:t>
            </w:r>
          </w:p>
        </w:tc>
        <w:tc>
          <w:tcPr>
            <w:tcW w:w="61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0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9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</w:tr>
      <w:tr w14:paraId="39AAABE8">
        <w:trPr>
          <w:trHeight w:val="352" w:hRule="atLeast"/>
        </w:trPr>
        <w:tc>
          <w:tcPr>
            <w:tcW w:w="13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0E7B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9AC8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558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B0CE9">
        <w:trPr>
          <w:trHeight w:val="352" w:hRule="atLeast"/>
        </w:trPr>
        <w:tc>
          <w:tcPr>
            <w:tcW w:w="13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E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申报机构基本情况</w:t>
            </w:r>
          </w:p>
        </w:tc>
        <w:tc>
          <w:tcPr>
            <w:tcW w:w="6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3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办公场所证明（5分）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8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37CAB7B4">
        <w:trPr>
          <w:trHeight w:val="352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4E47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05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机构社保人数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C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29CF960E">
        <w:trPr>
          <w:trHeight w:val="352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0290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18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（1-10人+3分；10人以上人+5分）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E9C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CAAFF">
        <w:trPr>
          <w:trHeight w:val="352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8787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7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注册、纳税在昌平区（5分）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23A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47373">
        <w:trPr>
          <w:trHeight w:val="352" w:hRule="atLeast"/>
        </w:trPr>
        <w:tc>
          <w:tcPr>
            <w:tcW w:w="132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A4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综合业务情况评分</w:t>
            </w:r>
          </w:p>
        </w:tc>
        <w:tc>
          <w:tcPr>
            <w:tcW w:w="61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1DF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服务昌平区高新技术企业申报数量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2D41AA78">
        <w:trPr>
          <w:trHeight w:val="352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B46E1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6E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首次认定（每申报1家得1分）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A6D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DCFB8">
        <w:trPr>
          <w:trHeight w:val="352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9DDED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E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复审（每申报1家得0.5分）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F63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3F9AF">
        <w:trPr>
          <w:trHeight w:val="352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B547C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50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服务昌平区高新技术企业申报通过数量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8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5A2DBF1F">
        <w:trPr>
          <w:trHeight w:val="684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23E7F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93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首次认定（每通过1家得2分）（首批次申报通过每家3分）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F2E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B8FB5">
        <w:trPr>
          <w:trHeight w:val="352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273B9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8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复审（每通过1家得1分）（首批次申报通过每家2分）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AA3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9ECE7">
        <w:trPr>
          <w:trHeight w:val="684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F816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D61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服务昌平区企业的典型案例及其他增值服务：（每个项目1分、落地项目2分）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7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498F03F8">
        <w:trPr>
          <w:trHeight w:val="684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886F5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4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例：（为企业提供金融服务、知识产权服务、产业用地、人才引进等）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68D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29494">
        <w:trPr>
          <w:trHeight w:val="352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8EEB9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4A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为昌平区引入高新技术企业单位主体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74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7E0B923C">
        <w:trPr>
          <w:trHeight w:val="663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997C1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46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（根据企业规模、迁入情况等综合评价，得2-5分）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E43A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61C5F">
        <w:trPr>
          <w:trHeight w:val="732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BD5BE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FB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*注解：从外省市引入高新企业，须在企业注册前15日到昌平区科委登记备案，且企业注册资金在500万以上；当年引入企业成功认定国高新，视同引入高新企业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B4EF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B8A42">
        <w:trPr>
          <w:trHeight w:val="2420" w:hRule="atLeast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评委评分</w:t>
            </w:r>
          </w:p>
        </w:tc>
        <w:tc>
          <w:tcPr>
            <w:tcW w:w="7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1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得分：                                             专家签字：                    </w:t>
            </w:r>
          </w:p>
          <w:p w14:paraId="765C1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</w:t>
            </w:r>
          </w:p>
          <w:p w14:paraId="28346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专家组长签字：</w:t>
            </w:r>
          </w:p>
        </w:tc>
      </w:tr>
      <w:tr w14:paraId="358055F0">
        <w:trPr>
          <w:trHeight w:val="684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0D51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5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年    月    日</w:t>
            </w:r>
          </w:p>
        </w:tc>
      </w:tr>
    </w:tbl>
    <w:p w14:paraId="18A4E03A">
      <w:pPr>
        <w:pStyle w:val="2"/>
        <w:rPr>
          <w:rFonts w:ascii="仿宋" w:hAnsi="仿宋" w:eastAsia="仿宋" w:cs="仿宋"/>
          <w:szCs w:val="21"/>
        </w:rPr>
      </w:pPr>
    </w:p>
    <w:p w14:paraId="57F15075">
      <w:pPr>
        <w:keepNext w:val="0"/>
        <w:keepLines w:val="0"/>
        <w:pageBreakBefore w:val="0"/>
        <w:widowControl/>
        <w:tabs>
          <w:tab w:val="left" w:pos="210"/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年度昌平区优秀科技服务机构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  <w:t>路演</w:t>
      </w:r>
    </w:p>
    <w:p w14:paraId="7415E9E2">
      <w:pPr>
        <w:keepNext w:val="0"/>
        <w:keepLines w:val="0"/>
        <w:pageBreakBefore w:val="0"/>
        <w:widowControl/>
        <w:tabs>
          <w:tab w:val="left" w:pos="210"/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  <w:t>评选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</w:rPr>
        <w:t>评分表</w:t>
      </w:r>
    </w:p>
    <w:p w14:paraId="7F3C9FD2">
      <w:pPr>
        <w:pStyle w:val="2"/>
        <w:rPr>
          <w:rFonts w:hint="eastAsia"/>
        </w:rPr>
      </w:pPr>
    </w:p>
    <w:p w14:paraId="4F5F4448">
      <w:pPr>
        <w:widowControl/>
        <w:tabs>
          <w:tab w:val="left" w:pos="210"/>
          <w:tab w:val="left" w:pos="6663"/>
        </w:tabs>
        <w:spacing w:line="375" w:lineRule="atLeast"/>
        <w:jc w:val="left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参评单位：</w:t>
      </w:r>
    </w:p>
    <w:tbl>
      <w:tblPr>
        <w:tblStyle w:val="8"/>
        <w:tblW w:w="87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6175"/>
        <w:gridCol w:w="1279"/>
      </w:tblGrid>
      <w:tr w14:paraId="567F785F">
        <w:trPr>
          <w:trHeight w:val="352" w:hRule="atLeast"/>
        </w:trPr>
        <w:tc>
          <w:tcPr>
            <w:tcW w:w="13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B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  标</w:t>
            </w:r>
          </w:p>
        </w:tc>
        <w:tc>
          <w:tcPr>
            <w:tcW w:w="61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D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2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C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</w:tr>
      <w:tr w14:paraId="04428481">
        <w:trPr>
          <w:trHeight w:val="352" w:hRule="atLeast"/>
        </w:trPr>
        <w:tc>
          <w:tcPr>
            <w:tcW w:w="13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849F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EDD8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BA53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BFF24">
        <w:trPr>
          <w:trHeight w:val="545" w:hRule="atLeast"/>
        </w:trPr>
        <w:tc>
          <w:tcPr>
            <w:tcW w:w="13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D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申报机构基本情况</w:t>
            </w:r>
          </w:p>
        </w:tc>
        <w:tc>
          <w:tcPr>
            <w:tcW w:w="6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B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服务模式及特色（10分）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B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7DAE65E3">
        <w:trPr>
          <w:trHeight w:val="641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0D9A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3D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规模（管理团队中高层次专业化人才数量及比例）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7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31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446C9E02">
        <w:trPr>
          <w:trHeight w:val="634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6D72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A4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链接其他资源或者合作伙伴的数量及情况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3A31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0FAF9">
        <w:trPr>
          <w:trHeight w:val="676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02A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B1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机构所获荣誉及资质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7105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D232E">
        <w:trPr>
          <w:trHeight w:val="736" w:hRule="atLeast"/>
        </w:trPr>
        <w:tc>
          <w:tcPr>
            <w:tcW w:w="132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3F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服务成效评分</w:t>
            </w:r>
          </w:p>
        </w:tc>
        <w:tc>
          <w:tcPr>
            <w:tcW w:w="61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51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组织创新创业活动数量及成效（30分）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5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3AFC73A8">
        <w:trPr>
          <w:trHeight w:val="671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68ABB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03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说明：每场活动2分。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4BC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2154A">
        <w:trPr>
          <w:trHeight w:val="1284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361D8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87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除高新技术企业认定申报以外的其他科技类政策（国家级、市级、昌平区）申报服务情况及成效（40分）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1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 w14:paraId="7C4A42B3">
        <w:trPr>
          <w:trHeight w:val="660" w:hRule="atLeast"/>
        </w:trPr>
        <w:tc>
          <w:tcPr>
            <w:tcW w:w="13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DC153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84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说明：服务国家级政策申报1家8分，市级政策申报5分，区级政策申报3分。</w:t>
            </w:r>
          </w:p>
        </w:tc>
        <w:tc>
          <w:tcPr>
            <w:tcW w:w="12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07E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25EDB">
        <w:trPr>
          <w:trHeight w:val="90" w:hRule="atLeast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评委评分</w:t>
            </w:r>
          </w:p>
        </w:tc>
        <w:tc>
          <w:tcPr>
            <w:tcW w:w="745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1F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得分：                   </w:t>
            </w:r>
          </w:p>
        </w:tc>
      </w:tr>
      <w:tr w14:paraId="0274ED36">
        <w:trPr>
          <w:trHeight w:val="673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523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152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专家签字：         </w:t>
            </w:r>
          </w:p>
        </w:tc>
      </w:tr>
      <w:tr w14:paraId="72B24E22">
        <w:trPr>
          <w:trHeight w:val="673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F96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22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</w:p>
        </w:tc>
      </w:tr>
      <w:tr w14:paraId="1DB27A6E">
        <w:trPr>
          <w:trHeight w:val="1018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C92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2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专家组长签字：</w:t>
            </w:r>
          </w:p>
        </w:tc>
      </w:tr>
      <w:tr w14:paraId="018706AD">
        <w:trPr>
          <w:trHeight w:val="792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062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B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年    月    日</w:t>
            </w:r>
          </w:p>
        </w:tc>
      </w:tr>
    </w:tbl>
    <w:p w14:paraId="1E7E2D33">
      <w:pPr>
        <w:widowControl/>
        <w:tabs>
          <w:tab w:val="left" w:pos="210"/>
          <w:tab w:val="left" w:pos="6663"/>
        </w:tabs>
        <w:spacing w:line="375" w:lineRule="atLeast"/>
        <w:jc w:val="left"/>
        <w:rPr>
          <w:rFonts w:hint="default" w:ascii="仿宋_GB2312" w:hAnsi="仿宋_GB2312" w:eastAsia="仿宋_GB2312" w:cs="仿宋_GB2312"/>
          <w:b/>
          <w:kern w:val="0"/>
          <w:sz w:val="36"/>
          <w:szCs w:val="36"/>
          <w:lang w:val="en-US" w:eastAsia="zh-CN"/>
        </w:rPr>
      </w:pPr>
    </w:p>
    <w:p w14:paraId="09F9A050"/>
    <w:p w14:paraId="14E6E454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汉仪书宋二KW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公文黑体">
    <w:altName w:val="汉仪中黑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8DE9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AD5A48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Y2JkMjRlYzBhY2NjZTc2ODQ3NmQ2ZTFkNWZhMTkifQ=="/>
    <w:docVar w:name="KSO_WPS_MARK_KEY" w:val="085b30f0-2bca-4bca-adc0-c61e5e013de6"/>
  </w:docVars>
  <w:rsids>
    <w:rsidRoot w:val="00E943A5"/>
    <w:rsid w:val="000426C0"/>
    <w:rsid w:val="00145917"/>
    <w:rsid w:val="003138BD"/>
    <w:rsid w:val="00376B3B"/>
    <w:rsid w:val="007C1D01"/>
    <w:rsid w:val="00971429"/>
    <w:rsid w:val="00B24E29"/>
    <w:rsid w:val="00E943A5"/>
    <w:rsid w:val="017D20E5"/>
    <w:rsid w:val="021C2D72"/>
    <w:rsid w:val="02B1025C"/>
    <w:rsid w:val="0340361A"/>
    <w:rsid w:val="036A2E0D"/>
    <w:rsid w:val="03CF003D"/>
    <w:rsid w:val="03D87282"/>
    <w:rsid w:val="047D4410"/>
    <w:rsid w:val="04FC4A2B"/>
    <w:rsid w:val="054912D2"/>
    <w:rsid w:val="05577AAD"/>
    <w:rsid w:val="055B3EBD"/>
    <w:rsid w:val="05A23118"/>
    <w:rsid w:val="05E445CA"/>
    <w:rsid w:val="05F40571"/>
    <w:rsid w:val="062271FB"/>
    <w:rsid w:val="06B81E6A"/>
    <w:rsid w:val="06E60EF0"/>
    <w:rsid w:val="072E013C"/>
    <w:rsid w:val="076D206C"/>
    <w:rsid w:val="082C0F70"/>
    <w:rsid w:val="083E2185"/>
    <w:rsid w:val="08414D9B"/>
    <w:rsid w:val="08F04777"/>
    <w:rsid w:val="093C3A66"/>
    <w:rsid w:val="09422E98"/>
    <w:rsid w:val="095755F9"/>
    <w:rsid w:val="09B430C8"/>
    <w:rsid w:val="09D47065"/>
    <w:rsid w:val="09EC5F46"/>
    <w:rsid w:val="0A9A0400"/>
    <w:rsid w:val="0AB670E9"/>
    <w:rsid w:val="0AC73876"/>
    <w:rsid w:val="0C173607"/>
    <w:rsid w:val="0C1A658C"/>
    <w:rsid w:val="0C210758"/>
    <w:rsid w:val="0C362E75"/>
    <w:rsid w:val="0C86340F"/>
    <w:rsid w:val="0D2E3844"/>
    <w:rsid w:val="0E094C5D"/>
    <w:rsid w:val="0E0B3CD6"/>
    <w:rsid w:val="0EFE4779"/>
    <w:rsid w:val="105749E3"/>
    <w:rsid w:val="107429B1"/>
    <w:rsid w:val="110A3627"/>
    <w:rsid w:val="11E34794"/>
    <w:rsid w:val="138C4A57"/>
    <w:rsid w:val="13B7619E"/>
    <w:rsid w:val="15E413E5"/>
    <w:rsid w:val="16513EFC"/>
    <w:rsid w:val="1673701C"/>
    <w:rsid w:val="16F142C5"/>
    <w:rsid w:val="18211C6B"/>
    <w:rsid w:val="19741B69"/>
    <w:rsid w:val="19812276"/>
    <w:rsid w:val="19D427A9"/>
    <w:rsid w:val="1AF5740F"/>
    <w:rsid w:val="1BD216C2"/>
    <w:rsid w:val="1C7C6EBD"/>
    <w:rsid w:val="1CE07C5A"/>
    <w:rsid w:val="1D004EC7"/>
    <w:rsid w:val="1D6775F3"/>
    <w:rsid w:val="1DB86F73"/>
    <w:rsid w:val="1E84443C"/>
    <w:rsid w:val="1EAD05F7"/>
    <w:rsid w:val="1ED604D2"/>
    <w:rsid w:val="1F096680"/>
    <w:rsid w:val="1F2F2E73"/>
    <w:rsid w:val="21210219"/>
    <w:rsid w:val="212F4EAC"/>
    <w:rsid w:val="21D95F4E"/>
    <w:rsid w:val="22DB45EC"/>
    <w:rsid w:val="23083A26"/>
    <w:rsid w:val="23436528"/>
    <w:rsid w:val="24EA3E4D"/>
    <w:rsid w:val="25596610"/>
    <w:rsid w:val="25974C09"/>
    <w:rsid w:val="25E8206C"/>
    <w:rsid w:val="2684358D"/>
    <w:rsid w:val="26CC48BC"/>
    <w:rsid w:val="27B51963"/>
    <w:rsid w:val="28FF26B0"/>
    <w:rsid w:val="2A847D80"/>
    <w:rsid w:val="2AB72FF2"/>
    <w:rsid w:val="2AE14158"/>
    <w:rsid w:val="2B2D11E4"/>
    <w:rsid w:val="2B836CA7"/>
    <w:rsid w:val="2BFA06A0"/>
    <w:rsid w:val="2BFD15F6"/>
    <w:rsid w:val="2D3006CA"/>
    <w:rsid w:val="2E0D4080"/>
    <w:rsid w:val="2ED16B03"/>
    <w:rsid w:val="2EDB19DD"/>
    <w:rsid w:val="2F4F3B23"/>
    <w:rsid w:val="2F59228F"/>
    <w:rsid w:val="2FEC67C7"/>
    <w:rsid w:val="31722E1A"/>
    <w:rsid w:val="32345811"/>
    <w:rsid w:val="325F3D4C"/>
    <w:rsid w:val="345A2ADD"/>
    <w:rsid w:val="34B7204F"/>
    <w:rsid w:val="35B44249"/>
    <w:rsid w:val="35E51344"/>
    <w:rsid w:val="36166407"/>
    <w:rsid w:val="37B545B7"/>
    <w:rsid w:val="37FF41BD"/>
    <w:rsid w:val="384F3E40"/>
    <w:rsid w:val="385A3339"/>
    <w:rsid w:val="388F0BF7"/>
    <w:rsid w:val="38E94613"/>
    <w:rsid w:val="395F6162"/>
    <w:rsid w:val="39614636"/>
    <w:rsid w:val="399524FA"/>
    <w:rsid w:val="39AF3D1A"/>
    <w:rsid w:val="3A983E21"/>
    <w:rsid w:val="3A9923A6"/>
    <w:rsid w:val="3B913416"/>
    <w:rsid w:val="3BE651B9"/>
    <w:rsid w:val="3C413173"/>
    <w:rsid w:val="3CB8494F"/>
    <w:rsid w:val="3D4A7815"/>
    <w:rsid w:val="3D4F491D"/>
    <w:rsid w:val="3DA075AB"/>
    <w:rsid w:val="3DC743A3"/>
    <w:rsid w:val="3DFA76AF"/>
    <w:rsid w:val="3ED87CB9"/>
    <w:rsid w:val="3EE01610"/>
    <w:rsid w:val="3F035205"/>
    <w:rsid w:val="41845CA3"/>
    <w:rsid w:val="42920CC4"/>
    <w:rsid w:val="42A23F12"/>
    <w:rsid w:val="42C7052A"/>
    <w:rsid w:val="42CE0FDB"/>
    <w:rsid w:val="434E4EB8"/>
    <w:rsid w:val="43853221"/>
    <w:rsid w:val="439F73EF"/>
    <w:rsid w:val="43D72A24"/>
    <w:rsid w:val="44583EEA"/>
    <w:rsid w:val="447F7F2F"/>
    <w:rsid w:val="452A3FF0"/>
    <w:rsid w:val="453805F2"/>
    <w:rsid w:val="45C74311"/>
    <w:rsid w:val="460301B3"/>
    <w:rsid w:val="46EF28FD"/>
    <w:rsid w:val="47A809D6"/>
    <w:rsid w:val="48356FD6"/>
    <w:rsid w:val="48402139"/>
    <w:rsid w:val="484D0E74"/>
    <w:rsid w:val="485B2986"/>
    <w:rsid w:val="489B7AEC"/>
    <w:rsid w:val="48E07739"/>
    <w:rsid w:val="4A0746F5"/>
    <w:rsid w:val="4B871F68"/>
    <w:rsid w:val="4BA02336"/>
    <w:rsid w:val="4BC8634D"/>
    <w:rsid w:val="4C6B78DF"/>
    <w:rsid w:val="4D0F6332"/>
    <w:rsid w:val="4D1B470C"/>
    <w:rsid w:val="4E945138"/>
    <w:rsid w:val="4EBA70C4"/>
    <w:rsid w:val="4EE5742C"/>
    <w:rsid w:val="4FE4180F"/>
    <w:rsid w:val="50CF4417"/>
    <w:rsid w:val="51050FB8"/>
    <w:rsid w:val="5112200B"/>
    <w:rsid w:val="51F77713"/>
    <w:rsid w:val="525539C8"/>
    <w:rsid w:val="53020157"/>
    <w:rsid w:val="547B6259"/>
    <w:rsid w:val="56DF46B3"/>
    <w:rsid w:val="577F2DC9"/>
    <w:rsid w:val="58064074"/>
    <w:rsid w:val="58115EA5"/>
    <w:rsid w:val="584373CA"/>
    <w:rsid w:val="585159DA"/>
    <w:rsid w:val="58BE683E"/>
    <w:rsid w:val="59425855"/>
    <w:rsid w:val="5A312538"/>
    <w:rsid w:val="5A49449D"/>
    <w:rsid w:val="5A5D0151"/>
    <w:rsid w:val="5A6C0112"/>
    <w:rsid w:val="5B5C0D7E"/>
    <w:rsid w:val="5BA851B9"/>
    <w:rsid w:val="5C7F5050"/>
    <w:rsid w:val="5DBA5B47"/>
    <w:rsid w:val="5E324F4E"/>
    <w:rsid w:val="5E42405B"/>
    <w:rsid w:val="5F1C0E6D"/>
    <w:rsid w:val="5F8245FA"/>
    <w:rsid w:val="5FCF0106"/>
    <w:rsid w:val="603C6157"/>
    <w:rsid w:val="60AA0313"/>
    <w:rsid w:val="613D14AF"/>
    <w:rsid w:val="6156298D"/>
    <w:rsid w:val="61880635"/>
    <w:rsid w:val="61BF25A3"/>
    <w:rsid w:val="62442377"/>
    <w:rsid w:val="625F0B43"/>
    <w:rsid w:val="64A53083"/>
    <w:rsid w:val="64BD3A8D"/>
    <w:rsid w:val="64E9478F"/>
    <w:rsid w:val="64FA5C43"/>
    <w:rsid w:val="6548613A"/>
    <w:rsid w:val="676B3065"/>
    <w:rsid w:val="683B2E61"/>
    <w:rsid w:val="691A041F"/>
    <w:rsid w:val="69B80CAE"/>
    <w:rsid w:val="6A2F77FE"/>
    <w:rsid w:val="6A3F688F"/>
    <w:rsid w:val="6A9C729C"/>
    <w:rsid w:val="6B1832B0"/>
    <w:rsid w:val="6C487E3F"/>
    <w:rsid w:val="6D620163"/>
    <w:rsid w:val="6DD553EA"/>
    <w:rsid w:val="6EB676DE"/>
    <w:rsid w:val="6F8716E5"/>
    <w:rsid w:val="701B612D"/>
    <w:rsid w:val="71126D8D"/>
    <w:rsid w:val="71D7142B"/>
    <w:rsid w:val="737A5168"/>
    <w:rsid w:val="73A163AC"/>
    <w:rsid w:val="74A964C0"/>
    <w:rsid w:val="75563EA5"/>
    <w:rsid w:val="7597029A"/>
    <w:rsid w:val="75C542D6"/>
    <w:rsid w:val="75F315BB"/>
    <w:rsid w:val="76610EC3"/>
    <w:rsid w:val="766667C0"/>
    <w:rsid w:val="77647F7B"/>
    <w:rsid w:val="77AA3258"/>
    <w:rsid w:val="789366E3"/>
    <w:rsid w:val="795D266E"/>
    <w:rsid w:val="79FC03FF"/>
    <w:rsid w:val="7A6344F2"/>
    <w:rsid w:val="7B750D86"/>
    <w:rsid w:val="7B822DB4"/>
    <w:rsid w:val="7C385022"/>
    <w:rsid w:val="7D09036B"/>
    <w:rsid w:val="7E163F7E"/>
    <w:rsid w:val="7E2A668C"/>
    <w:rsid w:val="7E3314F0"/>
    <w:rsid w:val="7F580C4D"/>
    <w:rsid w:val="7FCD555D"/>
    <w:rsid w:val="FF96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1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31"/>
    <w:basedOn w:val="10"/>
    <w:qFormat/>
    <w:uiPriority w:val="0"/>
    <w:rPr>
      <w:rFonts w:hint="default" w:ascii="Calibri" w:hAnsi="Calibri" w:cs="Calibri"/>
      <w:b/>
      <w:bCs/>
      <w:color w:val="000000"/>
      <w:sz w:val="21"/>
      <w:szCs w:val="21"/>
      <w:u w:val="none"/>
    </w:rPr>
  </w:style>
  <w:style w:type="character" w:customStyle="1" w:styleId="18">
    <w:name w:val="font41"/>
    <w:basedOn w:val="10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19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1033</Words>
  <Characters>1224</Characters>
  <Lines>8</Lines>
  <Paragraphs>2</Paragraphs>
  <TotalTime>21</TotalTime>
  <ScaleCrop>false</ScaleCrop>
  <LinksUpToDate>false</LinksUpToDate>
  <CharactersWithSpaces>1239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2019-09-20T09:52:00Z</dcterms:created>
  <dc:creator>zhaozy</dc:creator>
  <cp:lastModifiedBy>知</cp:lastModifiedBy>
  <cp:lastPrinted>2024-02-21T11:32:00Z</cp:lastPrinted>
  <dcterms:modified xsi:type="dcterms:W3CDTF">2025-05-30T16:53:50Z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E9E234A97AF549BEA0C716DACA81154D_13</vt:lpwstr>
  </property>
  <property fmtid="{D5CDD505-2E9C-101B-9397-08002B2CF9AE}" pid="4" name="KSOTemplateDocerSaveRecord">
    <vt:lpwstr>eyJoZGlkIjoiYmQ0NjRiY2FjMDBiN2I5ODQzYjEwZWM1NGYzMTYyOWYiLCJ1c2VySWQiOiIyNzUwODA2MDgifQ==</vt:lpwstr>
  </property>
</Properties>
</file>