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A5D4"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</w:rPr>
        <w:t>4：</w:t>
      </w:r>
    </w:p>
    <w:p w14:paraId="2A65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转北京市科学技术委员会</w:t>
      </w:r>
    </w:p>
    <w:p w14:paraId="524C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告知书</w:t>
      </w:r>
      <w:bookmarkEnd w:id="0"/>
    </w:p>
    <w:p w14:paraId="78B9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各高新技术企业：</w:t>
      </w:r>
    </w:p>
    <w:p w14:paraId="2030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根据《高新技术企业认定管理办法》及其工作指引要求，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符合高企认定标准，现就相关要求告知如下：</w:t>
      </w:r>
    </w:p>
    <w:p w14:paraId="64F1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一、持续保证研发强度、高新收入占比、科技人员占比符合要求</w:t>
      </w:r>
    </w:p>
    <w:p w14:paraId="5398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每一年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的年度纳税申报表中《高新技术企业优惠情况及明细表》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(A107041)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行高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新收入占比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必须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大于60%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；第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行科技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＞10%；第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研发投入占比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＞5%或4%或3%（以营业额为区分）；且不发生重大安全、环境、质量事故等（以《高新技术企业认定管理办法》第十一条为准）。</w:t>
      </w:r>
    </w:p>
    <w:p w14:paraId="02AB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二、违规后果</w:t>
      </w:r>
    </w:p>
    <w:p w14:paraId="603A0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企业若在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资质有效期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内上述认定条件不达标，或存在弄虚作假行为，将被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取消高新技术企业资格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追缴已享受的税收优惠等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20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请各单位高度重视，切实履行主体责任，确保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未来三年有效期内每一年均符合要求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39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特此告知。</w:t>
      </w:r>
    </w:p>
    <w:p w14:paraId="5454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04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30"/>
          <w:szCs w:val="30"/>
          <w:lang w:eastAsia="zh-CN"/>
        </w:rPr>
        <w:t>注：本告知书基于现行政策制定，若政策调整，以最新规定为准。</w:t>
      </w:r>
    </w:p>
    <w:p w14:paraId="267C0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5A51"/>
    <w:rsid w:val="1736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2026-01-29T01:41:00Z</dcterms:created>
  <dc:creator>潇</dc:creator>
  <cp:lastModifiedBy>潇</cp:lastModifiedBy>
  <dcterms:modified xsi:type="dcterms:W3CDTF">2026-01-29T01:41:31Z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83BFB8F4B968422282AB243AA6B822BA_11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