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3A1DB">
      <w:pPr>
        <w:ind w:firstLine="643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编号：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1F954E3D">
      <w:pPr>
        <w:jc w:val="center"/>
        <w:rPr>
          <w:rFonts w:hint="eastAsia" w:ascii="宋体" w:hAnsi="宋体"/>
          <w:color w:val="000000" w:themeColor="text1"/>
          <w:sz w:val="66"/>
          <w:szCs w:val="66"/>
          <w14:textFill>
            <w14:solidFill>
              <w14:schemeClr w14:val="tx1"/>
            </w14:solidFill>
          </w14:textFill>
        </w:rPr>
      </w:pPr>
    </w:p>
    <w:p w14:paraId="3DE7416B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6BC575BE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1142EBFE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  <w:t>科技服务业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专项</w:t>
      </w:r>
    </w:p>
    <w:p w14:paraId="4F642D63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培育科技服务业中小企业项目申报书</w:t>
      </w:r>
    </w:p>
    <w:p w14:paraId="512E1F0F">
      <w:pPr>
        <w:spacing w:before="480" w:beforeLines="20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6A5218">
      <w:pPr>
        <w:pStyle w:val="9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16DC6625">
      <w:pPr>
        <w:pStyle w:val="1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4763FF">
      <w:pP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6DD3FD35">
      <w:pPr>
        <w:adjustRightInd w:val="0"/>
        <w:snapToGrid w:val="0"/>
        <w:spacing w:line="360" w:lineRule="auto"/>
        <w:ind w:left="141" w:leftChars="67" w:firstLine="2089" w:firstLineChars="653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78A5D6B5">
      <w:pPr>
        <w:pStyle w:val="10"/>
        <w:ind w:firstLine="1470" w:firstLineChars="700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D2AD2B8">
      <w:pPr>
        <w:ind w:left="2238" w:leftChars="304" w:hanging="1600" w:hangingChars="5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项目名称：科技服务业中小企业项目——企业名称</w:t>
      </w:r>
    </w:p>
    <w:p w14:paraId="3EE2A526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所属专项名称：科技服务业专项</w:t>
      </w:r>
    </w:p>
    <w:p w14:paraId="17E68783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项目申报单位：（盖章）</w:t>
      </w:r>
    </w:p>
    <w:p w14:paraId="01E964DD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项目起止年限:</w:t>
      </w:r>
    </w:p>
    <w:p w14:paraId="71CF3591">
      <w:pPr>
        <w:spacing w:line="500" w:lineRule="exact"/>
        <w:ind w:firstLine="2249" w:firstLineChars="700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47003A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北京市科学技术委员会、中关村科技园区管理委员会</w:t>
      </w:r>
    </w:p>
    <w:p w14:paraId="7FE087E9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 月</w:t>
      </w:r>
    </w:p>
    <w:p w14:paraId="63CAE37D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861756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3A31C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B94A317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041969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F3B6558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4AB9AE3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661DFF8">
      <w:pPr>
        <w:jc w:val="center"/>
        <w:rPr>
          <w:rFonts w:hint="eastAsia" w:ascii="宋体" w:hAnsi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F7E3704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81178E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编写说明</w:t>
      </w:r>
    </w:p>
    <w:p w14:paraId="0159328F">
      <w:pPr>
        <w:snapToGrid w:val="0"/>
        <w:spacing w:line="360" w:lineRule="auto"/>
        <w:ind w:firstLine="641"/>
        <w:rPr>
          <w:snapToGrid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</w:pPr>
    </w:p>
    <w:p w14:paraId="55F5413C">
      <w:pPr>
        <w:widowControl/>
        <w:numPr>
          <w:ilvl w:val="255"/>
          <w:numId w:val="0"/>
        </w:numPr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1.本表适用于北京市科学技术委员会、中关村科技园区管理委员会支持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科技服务业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专项申报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CD477DC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2.本表所有栏目均需填写，凡无内容填写的栏目，请用“无”表示。第一次出现外文名词时，要写清全称和缩写，再次出现同一词时可以使用缩写，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字体统一用</w:t>
      </w:r>
      <w:r>
        <w:rPr>
          <w:rFonts w:hint="eastAsia" w:ascii="仿宋_GB2312" w:hAnsi="仿宋_GB2312" w:eastAsia="仿宋_GB2312" w:cs="仿宋_GB2312"/>
          <w:sz w:val="32"/>
          <w:szCs w:val="32"/>
        </w:rPr>
        <w:t>宋体小四。</w:t>
      </w:r>
    </w:p>
    <w:p w14:paraId="3E0708CA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3.申报内容可参考各项栏目括号内的说明，正式文本应删除括号说明内容。</w:t>
      </w:r>
    </w:p>
    <w:p w14:paraId="2EE90D5E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4.本表各项内容填写应当实事求是，保证提供的全部资料均真实、合法、有效，严禁弄虚作假。本表中相关数据应与本单位财务审计报告保持一致，若数据摘自合并报告，需为本公司单独数据。</w:t>
      </w:r>
    </w:p>
    <w:p w14:paraId="3DB29CC6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5.申报的工作内容中，应与市级财政资金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支持的其它相关工作不重复申报。</w:t>
      </w:r>
    </w:p>
    <w:p w14:paraId="083538AA">
      <w:pPr>
        <w:widowControl/>
        <w:spacing w:line="600" w:lineRule="exact"/>
        <w:ind w:firstLine="579" w:firstLineChars="181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6.承诺书及所有表格需填写完整，其中承诺书需法定代表人亲笔签字并加盖公章。</w:t>
      </w:r>
    </w:p>
    <w:p w14:paraId="7CCB9856">
      <w:pPr>
        <w:widowControl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29A01F7E">
      <w:pPr>
        <w:widowControl/>
        <w:spacing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第一部分   单位基本信息</w:t>
      </w:r>
    </w:p>
    <w:tbl>
      <w:tblPr>
        <w:tblStyle w:val="14"/>
        <w:tblW w:w="53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342"/>
        <w:gridCol w:w="779"/>
        <w:gridCol w:w="382"/>
        <w:gridCol w:w="1013"/>
        <w:gridCol w:w="8"/>
        <w:gridCol w:w="535"/>
        <w:gridCol w:w="2186"/>
      </w:tblGrid>
      <w:tr w14:paraId="2FB8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000" w:type="pct"/>
            <w:gridSpan w:val="8"/>
            <w:vAlign w:val="center"/>
          </w:tcPr>
          <w:p w14:paraId="7EE4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一、申报单位信息</w:t>
            </w:r>
          </w:p>
        </w:tc>
      </w:tr>
      <w:tr w14:paraId="606C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93" w:type="pct"/>
            <w:vAlign w:val="center"/>
          </w:tcPr>
          <w:p w14:paraId="531429AA">
            <w:pPr>
              <w:keepNext w:val="0"/>
              <w:keepLines w:val="0"/>
              <w:pageBreakBefore w:val="0"/>
              <w:widowControl w:val="0"/>
              <w:tabs>
                <w:tab w:val="left" w:pos="653"/>
                <w:tab w:val="center" w:pos="12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4106" w:type="pct"/>
            <w:gridSpan w:val="7"/>
            <w:vAlign w:val="center"/>
          </w:tcPr>
          <w:p w14:paraId="478F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F7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2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93" w:type="pct"/>
            <w:vAlign w:val="center"/>
          </w:tcPr>
          <w:p w14:paraId="2BC321A1">
            <w:pPr>
              <w:keepNext w:val="0"/>
              <w:keepLines w:val="0"/>
              <w:pageBreakBefore w:val="0"/>
              <w:widowControl w:val="0"/>
              <w:tabs>
                <w:tab w:val="left" w:pos="653"/>
                <w:tab w:val="center" w:pos="127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27" w:type="pct"/>
            <w:vAlign w:val="center"/>
          </w:tcPr>
          <w:p w14:paraId="77ED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98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pct"/>
            <w:gridSpan w:val="3"/>
            <w:vAlign w:val="center"/>
          </w:tcPr>
          <w:p w14:paraId="7A2E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纳统时间</w:t>
            </w:r>
          </w:p>
        </w:tc>
        <w:tc>
          <w:tcPr>
            <w:tcW w:w="1547" w:type="pct"/>
            <w:gridSpan w:val="3"/>
            <w:vAlign w:val="center"/>
          </w:tcPr>
          <w:p w14:paraId="5FB7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A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" w:type="pct"/>
            <w:vAlign w:val="center"/>
          </w:tcPr>
          <w:p w14:paraId="7FB4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注册地所属区</w:t>
            </w:r>
          </w:p>
        </w:tc>
        <w:tc>
          <w:tcPr>
            <w:tcW w:w="1327" w:type="pct"/>
            <w:vAlign w:val="center"/>
          </w:tcPr>
          <w:p w14:paraId="574D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pct"/>
            <w:gridSpan w:val="3"/>
            <w:vAlign w:val="center"/>
          </w:tcPr>
          <w:p w14:paraId="55E6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纳统所在区</w:t>
            </w:r>
          </w:p>
        </w:tc>
        <w:tc>
          <w:tcPr>
            <w:tcW w:w="1547" w:type="pct"/>
            <w:gridSpan w:val="3"/>
            <w:vAlign w:val="center"/>
          </w:tcPr>
          <w:p w14:paraId="79CA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9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93" w:type="pct"/>
            <w:vAlign w:val="center"/>
          </w:tcPr>
          <w:p w14:paraId="2FA0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85" w:type="pct"/>
            <w:gridSpan w:val="3"/>
            <w:vAlign w:val="center"/>
          </w:tcPr>
          <w:p w14:paraId="3D73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pct"/>
            <w:gridSpan w:val="3"/>
            <w:vAlign w:val="center"/>
          </w:tcPr>
          <w:p w14:paraId="2230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39" w:type="pct"/>
            <w:vAlign w:val="center"/>
          </w:tcPr>
          <w:p w14:paraId="36A84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5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93" w:type="pct"/>
            <w:vAlign w:val="center"/>
          </w:tcPr>
          <w:p w14:paraId="540F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4106" w:type="pct"/>
            <w:gridSpan w:val="7"/>
            <w:vAlign w:val="center"/>
          </w:tcPr>
          <w:p w14:paraId="3CE9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BD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93" w:type="pct"/>
            <w:vAlign w:val="center"/>
          </w:tcPr>
          <w:p w14:paraId="4D08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行业代码（GB/T4754-2017,指统计代码，不是工商注册代码）</w:t>
            </w:r>
          </w:p>
        </w:tc>
        <w:tc>
          <w:tcPr>
            <w:tcW w:w="4106" w:type="pct"/>
            <w:gridSpan w:val="7"/>
            <w:vAlign w:val="center"/>
          </w:tcPr>
          <w:p w14:paraId="4C244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9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93" w:type="pct"/>
            <w:vAlign w:val="center"/>
          </w:tcPr>
          <w:p w14:paraId="73391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768" w:type="pct"/>
            <w:gridSpan w:val="2"/>
            <w:vAlign w:val="center"/>
          </w:tcPr>
          <w:p w14:paraId="713A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1B5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gridSpan w:val="3"/>
            <w:vAlign w:val="center"/>
          </w:tcPr>
          <w:p w14:paraId="745E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42" w:type="pct"/>
            <w:gridSpan w:val="2"/>
            <w:vAlign w:val="center"/>
          </w:tcPr>
          <w:p w14:paraId="7A8F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2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93" w:type="pct"/>
            <w:vAlign w:val="center"/>
          </w:tcPr>
          <w:p w14:paraId="6D34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768" w:type="pct"/>
            <w:gridSpan w:val="2"/>
            <w:vAlign w:val="center"/>
          </w:tcPr>
          <w:p w14:paraId="0322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gridSpan w:val="3"/>
            <w:vAlign w:val="center"/>
          </w:tcPr>
          <w:p w14:paraId="5344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42" w:type="pct"/>
            <w:gridSpan w:val="2"/>
            <w:vAlign w:val="center"/>
          </w:tcPr>
          <w:p w14:paraId="000D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28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93" w:type="pct"/>
            <w:vAlign w:val="center"/>
          </w:tcPr>
          <w:p w14:paraId="162C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768" w:type="pct"/>
            <w:gridSpan w:val="2"/>
            <w:vAlign w:val="center"/>
          </w:tcPr>
          <w:p w14:paraId="575E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gridSpan w:val="3"/>
            <w:vAlign w:val="center"/>
          </w:tcPr>
          <w:p w14:paraId="4CC9C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42" w:type="pct"/>
            <w:gridSpan w:val="2"/>
            <w:vAlign w:val="center"/>
          </w:tcPr>
          <w:p w14:paraId="7395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3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93" w:type="pct"/>
            <w:vAlign w:val="center"/>
          </w:tcPr>
          <w:p w14:paraId="1DA6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68" w:type="pct"/>
            <w:gridSpan w:val="2"/>
            <w:vAlign w:val="center"/>
          </w:tcPr>
          <w:p w14:paraId="1BDE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gridSpan w:val="3"/>
            <w:vAlign w:val="center"/>
          </w:tcPr>
          <w:p w14:paraId="49C3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从业人员数量</w:t>
            </w:r>
          </w:p>
        </w:tc>
        <w:tc>
          <w:tcPr>
            <w:tcW w:w="1542" w:type="pct"/>
            <w:gridSpan w:val="2"/>
            <w:vAlign w:val="center"/>
          </w:tcPr>
          <w:p w14:paraId="59106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44D0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893" w:type="pct"/>
            <w:vAlign w:val="center"/>
          </w:tcPr>
          <w:p w14:paraId="56CC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1-11月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预计研发增速[(202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1-11月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预计研发投入/202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1-11月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研发投入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]（%）</w:t>
            </w:r>
          </w:p>
        </w:tc>
        <w:tc>
          <w:tcPr>
            <w:tcW w:w="1768" w:type="pct"/>
            <w:gridSpan w:val="2"/>
            <w:vAlign w:val="center"/>
          </w:tcPr>
          <w:p w14:paraId="0848B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pct"/>
            <w:gridSpan w:val="3"/>
            <w:vAlign w:val="center"/>
          </w:tcPr>
          <w:p w14:paraId="690B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1-12月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预计科技服务业固定资产投资额（万元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,可纳统在科学研究和技术服务业的固定资产投资额，金额在500万元及以上的填写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42" w:type="pct"/>
            <w:gridSpan w:val="2"/>
            <w:vAlign w:val="center"/>
          </w:tcPr>
          <w:p w14:paraId="688E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B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893" w:type="pct"/>
            <w:vAlign w:val="center"/>
          </w:tcPr>
          <w:p w14:paraId="17F1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申报单位概况</w:t>
            </w:r>
          </w:p>
        </w:tc>
        <w:tc>
          <w:tcPr>
            <w:tcW w:w="4106" w:type="pct"/>
            <w:gridSpan w:val="7"/>
            <w:vAlign w:val="center"/>
          </w:tcPr>
          <w:p w14:paraId="2009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5"/>
              <w:tblW w:w="69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6"/>
              <w:gridCol w:w="778"/>
              <w:gridCol w:w="778"/>
              <w:gridCol w:w="778"/>
              <w:gridCol w:w="778"/>
              <w:gridCol w:w="777"/>
              <w:gridCol w:w="777"/>
              <w:gridCol w:w="777"/>
              <w:gridCol w:w="777"/>
            </w:tblGrid>
            <w:tr w14:paraId="35A1BD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2" w:hRule="atLeast"/>
              </w:trPr>
              <w:tc>
                <w:tcPr>
                  <w:tcW w:w="776" w:type="dxa"/>
                  <w:vAlign w:val="center"/>
                </w:tcPr>
                <w:p w14:paraId="299B4F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年度</w:t>
                  </w: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465540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年1-12月</w:t>
                  </w: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4F8C41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2025年1-2月</w:t>
                  </w: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28ABB0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年1-11月</w:t>
                  </w:r>
                </w:p>
              </w:tc>
              <w:tc>
                <w:tcPr>
                  <w:tcW w:w="778" w:type="dxa"/>
                  <w:shd w:val="clear" w:color="auto" w:fill="auto"/>
                  <w:vAlign w:val="center"/>
                </w:tcPr>
                <w:p w14:paraId="52ACA5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202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年1-12月</w:t>
                  </w:r>
                </w:p>
              </w:tc>
              <w:tc>
                <w:tcPr>
                  <w:tcW w:w="777" w:type="dxa"/>
                  <w:shd w:val="clear" w:color="auto" w:fill="auto"/>
                  <w:vAlign w:val="center"/>
                </w:tcPr>
                <w:p w14:paraId="44663B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预计202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年1-2月</w:t>
                  </w:r>
                </w:p>
              </w:tc>
              <w:tc>
                <w:tcPr>
                  <w:tcW w:w="777" w:type="dxa"/>
                  <w:shd w:val="clear" w:color="auto" w:fill="auto"/>
                  <w:vAlign w:val="center"/>
                </w:tcPr>
                <w:p w14:paraId="2100E0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预计202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年1-5月</w:t>
                  </w:r>
                </w:p>
              </w:tc>
              <w:tc>
                <w:tcPr>
                  <w:tcW w:w="777" w:type="dxa"/>
                  <w:shd w:val="clear" w:color="auto" w:fill="auto"/>
                  <w:vAlign w:val="center"/>
                </w:tcPr>
                <w:p w14:paraId="39B5C1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预计202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年1-8月</w:t>
                  </w:r>
                </w:p>
              </w:tc>
              <w:tc>
                <w:tcPr>
                  <w:tcW w:w="777" w:type="dxa"/>
                  <w:shd w:val="clear" w:color="auto" w:fill="auto"/>
                  <w:vAlign w:val="center"/>
                </w:tcPr>
                <w:p w14:paraId="0CDA81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预计202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年1-11月</w:t>
                  </w:r>
                </w:p>
              </w:tc>
            </w:tr>
            <w:tr w14:paraId="72B10A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4" w:hRule="atLeast"/>
              </w:trPr>
              <w:tc>
                <w:tcPr>
                  <w:tcW w:w="776" w:type="dxa"/>
                  <w:vAlign w:val="center"/>
                </w:tcPr>
                <w:p w14:paraId="18E912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营业</w:t>
                  </w:r>
                </w:p>
                <w:p w14:paraId="407BD5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收入</w:t>
                  </w:r>
                </w:p>
                <w:p w14:paraId="69B56A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（亿元）</w:t>
                  </w:r>
                </w:p>
              </w:tc>
              <w:tc>
                <w:tcPr>
                  <w:tcW w:w="778" w:type="dxa"/>
                  <w:vAlign w:val="center"/>
                </w:tcPr>
                <w:p w14:paraId="6FB6A0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4C29E7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1B28DB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0C2CC1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6A2EC4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1F25F5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0E4F05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0881B2B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0" w:name="_GoBack"/>
                  <w:bookmarkEnd w:id="0"/>
                </w:p>
              </w:tc>
            </w:tr>
            <w:tr w14:paraId="601D2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5" w:hRule="atLeast"/>
              </w:trPr>
              <w:tc>
                <w:tcPr>
                  <w:tcW w:w="776" w:type="dxa"/>
                  <w:vAlign w:val="center"/>
                </w:tcPr>
                <w:p w14:paraId="0CED38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同比增速（%）</w:t>
                  </w:r>
                </w:p>
              </w:tc>
              <w:tc>
                <w:tcPr>
                  <w:tcW w:w="778" w:type="dxa"/>
                  <w:vAlign w:val="center"/>
                </w:tcPr>
                <w:p w14:paraId="038E28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7FBAFF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105319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73E9D2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047867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1A19BD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68922B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4AA6126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44FB5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3" w:hRule="atLeast"/>
              </w:trPr>
              <w:tc>
                <w:tcPr>
                  <w:tcW w:w="776" w:type="dxa"/>
                  <w:vAlign w:val="center"/>
                </w:tcPr>
                <w:p w14:paraId="5A0485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textAlignment w:val="auto"/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研发投入（万元）</w:t>
                  </w:r>
                </w:p>
              </w:tc>
              <w:tc>
                <w:tcPr>
                  <w:tcW w:w="778" w:type="dxa"/>
                  <w:vAlign w:val="center"/>
                </w:tcPr>
                <w:p w14:paraId="7A7C19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05F579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2929AF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8" w:type="dxa"/>
                  <w:vAlign w:val="center"/>
                </w:tcPr>
                <w:p w14:paraId="3030BE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3F6F89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34F652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68BBD0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77" w:type="dxa"/>
                  <w:vAlign w:val="center"/>
                </w:tcPr>
                <w:p w14:paraId="08313F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360" w:lineRule="auto"/>
                    <w:jc w:val="center"/>
                    <w:textAlignment w:val="auto"/>
                    <w:rPr>
                      <w:rFonts w:hint="eastAsia" w:ascii="宋体" w:hAnsi="宋体" w:cs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4E5F0901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备注：相关数据应为本公司在京独立法人数据，与报北京统计部门数据口径一致，含报统在北京的分公司不含子公司数据，非母公司或者集团数据。“——”不用填写</w:t>
            </w:r>
          </w:p>
          <w:p w14:paraId="0A919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（简要阐述申报单位简介、经营范围、营业收入、利润、纳税、研发投入及增长情况、设立子公司情况、行业水平和影响力以及其他需要说明的事项）</w:t>
            </w:r>
          </w:p>
        </w:tc>
      </w:tr>
      <w:tr w14:paraId="6C96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893" w:type="pct"/>
            <w:vAlign w:val="center"/>
          </w:tcPr>
          <w:p w14:paraId="4F4D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单位核心团队介绍</w:t>
            </w:r>
          </w:p>
        </w:tc>
        <w:tc>
          <w:tcPr>
            <w:tcW w:w="4106" w:type="pct"/>
            <w:gridSpan w:val="7"/>
            <w:vAlign w:val="center"/>
          </w:tcPr>
          <w:p w14:paraId="6A6B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1C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7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893" w:type="pct"/>
            <w:vAlign w:val="center"/>
          </w:tcPr>
          <w:p w14:paraId="7543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获得国家级、市级、区级财政支持情况（近三年）</w:t>
            </w:r>
          </w:p>
        </w:tc>
        <w:tc>
          <w:tcPr>
            <w:tcW w:w="4106" w:type="pct"/>
            <w:gridSpan w:val="7"/>
            <w:vAlign w:val="center"/>
          </w:tcPr>
          <w:p w14:paraId="7DFB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84A3D9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D8154B">
      <w:pPr>
        <w:numPr>
          <w:ilvl w:val="0"/>
          <w:numId w:val="1"/>
        </w:numPr>
        <w:spacing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发展情况</w:t>
      </w:r>
    </w:p>
    <w:tbl>
      <w:tblPr>
        <w:tblStyle w:val="39"/>
        <w:tblW w:w="9244" w:type="dxa"/>
        <w:tblInd w:w="-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4"/>
      </w:tblGrid>
      <w:tr w14:paraId="05B67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</w:trPr>
        <w:tc>
          <w:tcPr>
            <w:tcW w:w="9244" w:type="dxa"/>
            <w:tcBorders>
              <w:left w:val="single" w:color="000000" w:sz="2" w:space="0"/>
              <w:bottom w:val="single" w:color="000000" w:sz="2" w:space="0"/>
            </w:tcBorders>
          </w:tcPr>
          <w:p w14:paraId="1B437649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一、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技术研发基础（包括研发投入、前期的技术与知识产权概况及先进性）</w:t>
            </w:r>
          </w:p>
          <w:p w14:paraId="061D86DF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5CBBCE7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EE0CD89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A99C218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7FFCCC2F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1FDEAA3B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41AC3FB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0BA68794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07F51D78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A189D15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71DD5AC2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53EFB7DE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2E6D8F00">
            <w:pPr>
              <w:pStyle w:val="38"/>
              <w:numPr>
                <w:ilvl w:val="0"/>
                <w:numId w:val="2"/>
              </w:numPr>
              <w:spacing w:before="43" w:line="211" w:lineRule="auto"/>
              <w:ind w:firstLine="229" w:firstLineChars="100"/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软硬件建设情况（包括已有的场地空间、仪器设备、相关系统等）</w:t>
            </w:r>
          </w:p>
          <w:p w14:paraId="3B3FD3E3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32B75C4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1EF30A8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2C1BB0E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C072502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07C0939F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00E8C0CD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45F56342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58DB4B2E">
            <w:pPr>
              <w:pStyle w:val="38"/>
              <w:widowControl w:val="0"/>
              <w:numPr>
                <w:ilvl w:val="0"/>
                <w:numId w:val="0"/>
              </w:numPr>
              <w:spacing w:before="43" w:line="211" w:lineRule="auto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3C13B430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5AF47053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6E8606A7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26BA2117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4D9442E6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4BD75FB3">
            <w:pPr>
              <w:pStyle w:val="38"/>
              <w:spacing w:before="43" w:line="211" w:lineRule="auto"/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</w:pPr>
          </w:p>
          <w:p w14:paraId="46C971B3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三、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  <w:lang w:eastAsia="zh-CN"/>
              </w:rPr>
              <w:t>产学研合作与国际化情况（请说明企业与高校院所以及国际相关企业机构的研发合作情况）</w:t>
            </w:r>
          </w:p>
          <w:p w14:paraId="6AE5B73A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082EBC2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2FFB479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23CC3FB2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A3FCB4B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778E0D21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F9A97B6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8BAEA2D">
            <w:pPr>
              <w:pStyle w:val="38"/>
              <w:spacing w:before="43" w:line="211" w:lineRule="auto"/>
              <w:ind w:left="2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28FD5DC1">
      <w:pPr>
        <w:spacing w:line="56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notePr>
        <w:numFmt w:val="decimalEnclosedCircleChinese"/>
      </w:footnotePr>
      <w:pgSz w:w="11907" w:h="16840"/>
      <w:pgMar w:top="1440" w:right="1797" w:bottom="1440" w:left="1797" w:header="709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22CBB0-9C65-4033-AFF9-C8C576F6F5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B70386-C644-4ED9-87DE-A1F8870A4B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6B6AC85-3660-4B5F-BD78-2270C423EC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A62A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92E92"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92E92"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9A88048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586FE"/>
    <w:multiLevelType w:val="singleLevel"/>
    <w:tmpl w:val="935586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5C66B2"/>
    <w:multiLevelType w:val="singleLevel"/>
    <w:tmpl w:val="455C66B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156"/>
  <w:noPunctuationKerning w:val="1"/>
  <w:characterSpacingControl w:val="compressPunctuation"/>
  <w:doNotValidateAgainstSchema/>
  <w:doNotDemarcateInvalidXml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MTNiNGExMTM5ZWZhOWU0MjI2Zjc0NDJjNTEyMDcifQ=="/>
  </w:docVars>
  <w:rsids>
    <w:rsidRoot w:val="00E13BB3"/>
    <w:rsid w:val="000020AD"/>
    <w:rsid w:val="00011C21"/>
    <w:rsid w:val="00045352"/>
    <w:rsid w:val="000B67EB"/>
    <w:rsid w:val="000F70DB"/>
    <w:rsid w:val="001260CA"/>
    <w:rsid w:val="00176971"/>
    <w:rsid w:val="00177C2E"/>
    <w:rsid w:val="00186A60"/>
    <w:rsid w:val="00190C59"/>
    <w:rsid w:val="0019280F"/>
    <w:rsid w:val="001A2607"/>
    <w:rsid w:val="001D13D7"/>
    <w:rsid w:val="001D256F"/>
    <w:rsid w:val="001F79D4"/>
    <w:rsid w:val="00213B80"/>
    <w:rsid w:val="00236099"/>
    <w:rsid w:val="00236125"/>
    <w:rsid w:val="00236F81"/>
    <w:rsid w:val="002433A3"/>
    <w:rsid w:val="002540D3"/>
    <w:rsid w:val="00291A4A"/>
    <w:rsid w:val="002B797D"/>
    <w:rsid w:val="002D3820"/>
    <w:rsid w:val="0030321E"/>
    <w:rsid w:val="00335AA9"/>
    <w:rsid w:val="0035505E"/>
    <w:rsid w:val="00365A11"/>
    <w:rsid w:val="00386651"/>
    <w:rsid w:val="00396EF9"/>
    <w:rsid w:val="003D6A17"/>
    <w:rsid w:val="003E379B"/>
    <w:rsid w:val="003F2C1C"/>
    <w:rsid w:val="00407520"/>
    <w:rsid w:val="00437FD6"/>
    <w:rsid w:val="004428F4"/>
    <w:rsid w:val="00457E6D"/>
    <w:rsid w:val="004771CD"/>
    <w:rsid w:val="004D080B"/>
    <w:rsid w:val="005067F6"/>
    <w:rsid w:val="005229A2"/>
    <w:rsid w:val="005A0AFB"/>
    <w:rsid w:val="00624794"/>
    <w:rsid w:val="00626CBA"/>
    <w:rsid w:val="0063067E"/>
    <w:rsid w:val="00657640"/>
    <w:rsid w:val="00661286"/>
    <w:rsid w:val="00665813"/>
    <w:rsid w:val="006A1B5C"/>
    <w:rsid w:val="006C7281"/>
    <w:rsid w:val="006E7782"/>
    <w:rsid w:val="006F6DC5"/>
    <w:rsid w:val="00704E95"/>
    <w:rsid w:val="007330C5"/>
    <w:rsid w:val="007A6F7A"/>
    <w:rsid w:val="007B58A8"/>
    <w:rsid w:val="007B7D70"/>
    <w:rsid w:val="007C12E9"/>
    <w:rsid w:val="007D0B2A"/>
    <w:rsid w:val="007E13D1"/>
    <w:rsid w:val="007E392E"/>
    <w:rsid w:val="007E6937"/>
    <w:rsid w:val="007E6FB0"/>
    <w:rsid w:val="008601DF"/>
    <w:rsid w:val="008605B7"/>
    <w:rsid w:val="008666AC"/>
    <w:rsid w:val="008C4306"/>
    <w:rsid w:val="008C7563"/>
    <w:rsid w:val="008D377E"/>
    <w:rsid w:val="008E7D73"/>
    <w:rsid w:val="00931736"/>
    <w:rsid w:val="00991CBE"/>
    <w:rsid w:val="009A6397"/>
    <w:rsid w:val="009C4F8F"/>
    <w:rsid w:val="00A04287"/>
    <w:rsid w:val="00A0448C"/>
    <w:rsid w:val="00A144BF"/>
    <w:rsid w:val="00A164D9"/>
    <w:rsid w:val="00A250CA"/>
    <w:rsid w:val="00A45907"/>
    <w:rsid w:val="00A70E02"/>
    <w:rsid w:val="00A73F50"/>
    <w:rsid w:val="00A81EC4"/>
    <w:rsid w:val="00AB17FF"/>
    <w:rsid w:val="00AC194F"/>
    <w:rsid w:val="00B05CA4"/>
    <w:rsid w:val="00B0628F"/>
    <w:rsid w:val="00B11ED2"/>
    <w:rsid w:val="00B16120"/>
    <w:rsid w:val="00B37938"/>
    <w:rsid w:val="00B604EF"/>
    <w:rsid w:val="00B90031"/>
    <w:rsid w:val="00BA2892"/>
    <w:rsid w:val="00BB6200"/>
    <w:rsid w:val="00BC2DA6"/>
    <w:rsid w:val="00C250D5"/>
    <w:rsid w:val="00C36EDF"/>
    <w:rsid w:val="00CD1A89"/>
    <w:rsid w:val="00CE1496"/>
    <w:rsid w:val="00CE182B"/>
    <w:rsid w:val="00CE7442"/>
    <w:rsid w:val="00D12DC0"/>
    <w:rsid w:val="00D169EA"/>
    <w:rsid w:val="00D415CF"/>
    <w:rsid w:val="00D43635"/>
    <w:rsid w:val="00D55428"/>
    <w:rsid w:val="00D569DD"/>
    <w:rsid w:val="00D96A6E"/>
    <w:rsid w:val="00DA5263"/>
    <w:rsid w:val="00E07DBC"/>
    <w:rsid w:val="00E13BB3"/>
    <w:rsid w:val="00E17CDA"/>
    <w:rsid w:val="00E21916"/>
    <w:rsid w:val="00E751BB"/>
    <w:rsid w:val="00E754BE"/>
    <w:rsid w:val="00E8352B"/>
    <w:rsid w:val="00E90198"/>
    <w:rsid w:val="00ED07A3"/>
    <w:rsid w:val="00EE14E6"/>
    <w:rsid w:val="00EF2865"/>
    <w:rsid w:val="00EF4CF3"/>
    <w:rsid w:val="00F0226B"/>
    <w:rsid w:val="00F2085E"/>
    <w:rsid w:val="00F41F91"/>
    <w:rsid w:val="00FA405D"/>
    <w:rsid w:val="00FE6B80"/>
    <w:rsid w:val="00FE7A91"/>
    <w:rsid w:val="00FF050E"/>
    <w:rsid w:val="0233694F"/>
    <w:rsid w:val="03E35A17"/>
    <w:rsid w:val="0534214F"/>
    <w:rsid w:val="05E575A8"/>
    <w:rsid w:val="07C553EE"/>
    <w:rsid w:val="0D894C89"/>
    <w:rsid w:val="0DC8675E"/>
    <w:rsid w:val="0DE34399"/>
    <w:rsid w:val="0E560460"/>
    <w:rsid w:val="0EE82BC0"/>
    <w:rsid w:val="12CF5495"/>
    <w:rsid w:val="13ED3B83"/>
    <w:rsid w:val="14432035"/>
    <w:rsid w:val="154A2E00"/>
    <w:rsid w:val="15FF3E1F"/>
    <w:rsid w:val="16000B08"/>
    <w:rsid w:val="16391602"/>
    <w:rsid w:val="16921451"/>
    <w:rsid w:val="177B539A"/>
    <w:rsid w:val="1BD07D4F"/>
    <w:rsid w:val="1BE83C2C"/>
    <w:rsid w:val="1E4A5B72"/>
    <w:rsid w:val="1E62B978"/>
    <w:rsid w:val="1FB32874"/>
    <w:rsid w:val="1FC74858"/>
    <w:rsid w:val="2010188D"/>
    <w:rsid w:val="20D73082"/>
    <w:rsid w:val="22BB3B68"/>
    <w:rsid w:val="24217387"/>
    <w:rsid w:val="25D42809"/>
    <w:rsid w:val="27CB03C7"/>
    <w:rsid w:val="29304C2D"/>
    <w:rsid w:val="2A223B3D"/>
    <w:rsid w:val="2AD612A9"/>
    <w:rsid w:val="31C96B4B"/>
    <w:rsid w:val="325D20BC"/>
    <w:rsid w:val="32DE5587"/>
    <w:rsid w:val="338E00A6"/>
    <w:rsid w:val="34AB0B42"/>
    <w:rsid w:val="353217AC"/>
    <w:rsid w:val="36A6387D"/>
    <w:rsid w:val="36C109D4"/>
    <w:rsid w:val="37620175"/>
    <w:rsid w:val="3AD9074E"/>
    <w:rsid w:val="3BD006BE"/>
    <w:rsid w:val="3BDF7303"/>
    <w:rsid w:val="3FEC0DF0"/>
    <w:rsid w:val="42A16C50"/>
    <w:rsid w:val="43483815"/>
    <w:rsid w:val="4378292A"/>
    <w:rsid w:val="47701925"/>
    <w:rsid w:val="4AEA5EAE"/>
    <w:rsid w:val="4CB976AC"/>
    <w:rsid w:val="4D8679A2"/>
    <w:rsid w:val="5164230F"/>
    <w:rsid w:val="51903765"/>
    <w:rsid w:val="5559031E"/>
    <w:rsid w:val="55B6370E"/>
    <w:rsid w:val="5788195C"/>
    <w:rsid w:val="5F166C50"/>
    <w:rsid w:val="5FFF283F"/>
    <w:rsid w:val="61D92C5E"/>
    <w:rsid w:val="62F31C12"/>
    <w:rsid w:val="644C3154"/>
    <w:rsid w:val="6463711B"/>
    <w:rsid w:val="6900418A"/>
    <w:rsid w:val="69FC4D09"/>
    <w:rsid w:val="6A090546"/>
    <w:rsid w:val="6B8E239E"/>
    <w:rsid w:val="6BC74B5D"/>
    <w:rsid w:val="6CFA3345"/>
    <w:rsid w:val="6D062AED"/>
    <w:rsid w:val="702E06E5"/>
    <w:rsid w:val="71684F8E"/>
    <w:rsid w:val="725811C5"/>
    <w:rsid w:val="75EEDF67"/>
    <w:rsid w:val="77F7DA7D"/>
    <w:rsid w:val="790F69C3"/>
    <w:rsid w:val="7AFF0EBA"/>
    <w:rsid w:val="7B0F6AAC"/>
    <w:rsid w:val="7B1E0809"/>
    <w:rsid w:val="7B646D25"/>
    <w:rsid w:val="7B647FE6"/>
    <w:rsid w:val="7B9C6094"/>
    <w:rsid w:val="7CD73DE6"/>
    <w:rsid w:val="7DFC76A4"/>
    <w:rsid w:val="7E192908"/>
    <w:rsid w:val="7E7F9169"/>
    <w:rsid w:val="7EFE7F09"/>
    <w:rsid w:val="7EFFE8C3"/>
    <w:rsid w:val="7F75DE44"/>
    <w:rsid w:val="7FFBC09C"/>
    <w:rsid w:val="AE7F3ACD"/>
    <w:rsid w:val="B708F16A"/>
    <w:rsid w:val="BB7D58C7"/>
    <w:rsid w:val="CF3FB4D8"/>
    <w:rsid w:val="DDAF2FE3"/>
    <w:rsid w:val="DFBFEA0E"/>
    <w:rsid w:val="E31F90C1"/>
    <w:rsid w:val="E37F4B11"/>
    <w:rsid w:val="EAF896A8"/>
    <w:rsid w:val="ECFFB294"/>
    <w:rsid w:val="EF6D163A"/>
    <w:rsid w:val="FD6D3B73"/>
    <w:rsid w:val="FF74D679"/>
    <w:rsid w:val="FFDFC6F8"/>
    <w:rsid w:val="FFEB4AA9"/>
    <w:rsid w:val="FF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3">
    <w:name w:val="annotation text"/>
    <w:basedOn w:val="1"/>
    <w:link w:val="20"/>
    <w:autoRedefine/>
    <w:qFormat/>
    <w:uiPriority w:val="99"/>
    <w:pPr>
      <w:jc w:val="left"/>
    </w:pPr>
    <w:rPr>
      <w:rFonts w:ascii="仿宋_GB2312" w:hAnsi="仿宋_GB2312" w:eastAsia="仿宋_GB2312" w:cs="仿宋_GB2312"/>
      <w:sz w:val="28"/>
      <w:szCs w:val="28"/>
    </w:rPr>
  </w:style>
  <w:style w:type="paragraph" w:styleId="4">
    <w:name w:val="Body Text"/>
    <w:basedOn w:val="1"/>
    <w:link w:val="22"/>
    <w:autoRedefine/>
    <w:qFormat/>
    <w:uiPriority w:val="0"/>
    <w:pPr>
      <w:spacing w:line="360" w:lineRule="auto"/>
      <w:jc w:val="left"/>
    </w:pPr>
    <w:rPr>
      <w:kern w:val="0"/>
      <w:sz w:val="28"/>
      <w:szCs w:val="20"/>
    </w:rPr>
  </w:style>
  <w:style w:type="paragraph" w:styleId="5">
    <w:name w:val="Plain Text"/>
    <w:basedOn w:val="1"/>
    <w:link w:val="23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5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index heading"/>
    <w:basedOn w:val="1"/>
    <w:next w:val="10"/>
    <w:autoRedefine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3"/>
    <w:next w:val="3"/>
    <w:link w:val="21"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99"/>
    <w:rPr>
      <w:sz w:val="21"/>
      <w:szCs w:val="21"/>
    </w:rPr>
  </w:style>
  <w:style w:type="character" w:customStyle="1" w:styleId="20">
    <w:name w:val="批注文字 字符"/>
    <w:link w:val="3"/>
    <w:autoRedefine/>
    <w:qFormat/>
    <w:uiPriority w:val="99"/>
    <w:rPr>
      <w:rFonts w:ascii="仿宋_GB2312" w:hAnsi="仿宋_GB2312" w:eastAsia="仿宋_GB2312" w:cs="仿宋_GB2312"/>
      <w:kern w:val="2"/>
      <w:sz w:val="28"/>
      <w:szCs w:val="28"/>
    </w:rPr>
  </w:style>
  <w:style w:type="character" w:customStyle="1" w:styleId="21">
    <w:name w:val="批注主题 字符"/>
    <w:link w:val="13"/>
    <w:autoRedefine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正文文本 字符"/>
    <w:link w:val="4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纯文本 字符"/>
    <w:link w:val="5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5">
    <w:name w:val="批注框文本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字符"/>
    <w:link w:val="8"/>
    <w:autoRedefine/>
    <w:qFormat/>
    <w:uiPriority w:val="0"/>
    <w:rPr>
      <w:sz w:val="18"/>
      <w:szCs w:val="18"/>
    </w:rPr>
  </w:style>
  <w:style w:type="character" w:customStyle="1" w:styleId="27">
    <w:name w:val="纯文本 Char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28">
    <w:name w:val="Char Char Char Char Char Char Char Char Char Char Char Char1 Char Char Char Char"/>
    <w:basedOn w:val="1"/>
    <w:autoRedefine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修订3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修订4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msolistparagraph"/>
    <w:basedOn w:val="1"/>
    <w:qFormat/>
    <w:uiPriority w:val="0"/>
    <w:pPr>
      <w:ind w:firstLine="420" w:firstLineChars="200"/>
    </w:pPr>
  </w:style>
  <w:style w:type="paragraph" w:customStyle="1" w:styleId="36">
    <w:name w:val="修订5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szCs w:val="22"/>
      <w:lang w:eastAsia="en-US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修订8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修订9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bidc</Company>
  <Pages>6</Pages>
  <Words>931</Words>
  <Characters>1028</Characters>
  <Lines>5</Lines>
  <Paragraphs>5</Paragraphs>
  <TotalTime>3</TotalTime>
  <ScaleCrop>false</ScaleCrop>
  <LinksUpToDate>false</LinksUpToDate>
  <CharactersWithSpaces>1087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2025-01-05T11:23:00Z</dcterms:created>
  <dc:creator>yj</dc:creator>
  <cp:lastModifiedBy>左倩</cp:lastModifiedBy>
  <cp:lastPrinted>2025-01-13T04:21:00Z</cp:lastPrinted>
  <dcterms:modified xsi:type="dcterms:W3CDTF">2026-02-04T04:44:42Z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B11EAD0CD8BE476988A9F20FDC83E0E5_13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  <property fmtid="{D5CDD505-2E9C-101B-9397-08002B2CF9AE}" pid="6" name="KSOTemplateDocerSaveRecord">
    <vt:lpwstr>eyJoZGlkIjoiNTU0ZmIwYTQ3NzlmZGUxZmU3Zjk0M2IyZTNmM2IxNjAiLCJ1c2VySWQiOiIzMTUzNjQ1MDcifQ==</vt:lpwstr>
  </property>
</Properties>
</file>